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media/image1.jpeg" ContentType="image/jpeg"/>
  <Override PartName="/word/media/image2.wmf" ContentType="image/x-wmf"/>
  <Override PartName="/word/embeddings/oleObject1.bin" ContentType="application/vnd.openxmlformats-officedocument.oleObjec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3.xml" ContentType="application/vnd.openxmlformats-officedocument.customXmlProperties+xml"/>
  <Override PartName="/customXml/itemProps1.xml" ContentType="application/vnd.openxmlformats-officedocument.customXmlProperties+xml"/>
  <Override PartName="/customXml/item2.xml" ContentType="application/xml"/>
  <Override PartName="/customXml/itemProps2.xml" ContentType="application/vnd.openxmlformats-officedocument.customXmlProperties+xml"/>
  <Override PartName="/customXml/_rels/item1.xml.rels" ContentType="application/vnd.openxmlformats-package.relationships+xml"/>
  <Override PartName="/customXml/_rels/item2.xml.rels" ContentType="application/vnd.openxmlformats-package.relationships+xml"/>
  <Override PartName="/customXml/_rels/item3.xml.rels" ContentType="application/vnd.openxmlformats-package.relationships+xml"/>
  <Override PartName="/customXml/item3.xml" ContentType="application/xml"/>
  <Override PartName="/_rels/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/>
      </w:pPr>
      <w:r>
        <w:rPr/>
        <w:drawing>
          <wp:anchor behindDoc="1" distT="0" distB="0" distL="0" distR="0" simplePos="0" locked="0" layoutInCell="1" allowOverlap="1" relativeHeight="2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0" t="0" r="0" b="0"/>
            <wp:wrapNone/>
            <wp:docPr id="1" name="Obraz 1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kol pol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  <w:object>
          <v:shapetype id="_x0000_tole_rId3" coordsize="21600,21600" o:spt="ole_rId3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le_rId3" type="_x0000_tole_rId3" style="width:49.5pt;height:63pt;mso-wrap-distance-right:0pt" filled="f" o:ole="">
            <v:imagedata r:id="rId4" o:title=""/>
          </v:shape>
          <o:OLEObject Type="Embed" ProgID="CorelDraw.Graphic.15" ShapeID="ole_rId3" DrawAspect="Content" ObjectID="_126160325" r:id="rId3"/>
        </w:object>
      </w:r>
    </w:p>
    <w:p>
      <w:pPr>
        <w:pStyle w:val="Normal"/>
        <w:spacing w:lineRule="auto" w:line="276"/>
        <w:jc w:val="center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  <w:t>SYLABUS ZAJĘĆ</w:t>
      </w:r>
    </w:p>
    <w:p>
      <w:pPr>
        <w:pStyle w:val="Normal"/>
        <w:spacing w:lineRule="auto" w:line="276"/>
        <w:jc w:val="center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  <w:t>Informacje ogólne</w:t>
      </w:r>
    </w:p>
    <w:p>
      <w:pPr>
        <w:pStyle w:val="Normal"/>
        <w:spacing w:lineRule="auto" w:line="276"/>
        <w:rPr>
          <w:rFonts w:eastAsia="Calibri"/>
          <w:b/>
          <w:spacing w:val="30"/>
          <w:lang w:eastAsia="en-US"/>
        </w:rPr>
      </w:pPr>
      <w:r>
        <w:rPr>
          <w:rFonts w:eastAsia="Calibri"/>
          <w:b/>
          <w:spacing w:val="30"/>
          <w:lang w:eastAsia="en-US"/>
        </w:rPr>
      </w:r>
    </w:p>
    <w:tbl>
      <w:tblPr>
        <w:tblW w:w="9356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20"/>
        <w:gridCol w:w="4635"/>
      </w:tblGrid>
      <w:tr>
        <w:trPr>
          <w:trHeight w:val="397" w:hRule="atLeast"/>
        </w:trPr>
        <w:tc>
          <w:tcPr>
            <w:tcW w:w="935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Nazwa ZAJĘĆ: </w:t>
            </w:r>
            <w:r>
              <w:rPr>
                <w:rFonts w:eastAsia="Calibri"/>
                <w:b w:val="false"/>
                <w:bCs w:val="false"/>
                <w:i w:val="false"/>
                <w:iCs w:val="false"/>
                <w:lang w:eastAsia="en-US"/>
              </w:rPr>
              <w:t>Komunikacja interpersonalna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Rodzaj ZAJĘĆ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Obowiązkowy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Wydział PUM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Wydział Nauk o Zdrowiu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Kierunek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Ratownictwo medyczne z BMSO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Specjalność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n/d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Poziom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jednolite magisterskie □</w:t>
            </w:r>
          </w:p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I stopnia</w:t>
            </w:r>
            <w:r>
              <w:rPr>
                <w:rFonts w:eastAsia="Calibri"/>
                <w:b/>
                <w:bCs/>
                <w:i/>
                <w:iCs/>
                <w:sz w:val="28"/>
                <w:szCs w:val="28"/>
                <w:lang w:eastAsia="en-US"/>
              </w:rPr>
              <w:t xml:space="preserve"> </w:t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X</w:t>
            </w:r>
          </w:p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II stopnia □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b/>
                <w:bCs/>
                <w:i/>
                <w:lang w:eastAsia="en-US"/>
              </w:rPr>
              <w:t>stacjonarne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Rok studiów /semestr studiów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3</w:t>
            </w:r>
            <w:r>
              <w:rPr>
                <w:rFonts w:eastAsia="Calibri"/>
                <w:i/>
                <w:iCs/>
                <w:lang w:eastAsia="en-US"/>
              </w:rPr>
              <w:t xml:space="preserve"> rok/</w:t>
            </w:r>
            <w:r>
              <w:rPr>
                <w:rFonts w:eastAsia="Calibri"/>
                <w:i/>
                <w:iCs/>
                <w:lang w:eastAsia="en-US"/>
              </w:rPr>
              <w:t>1</w:t>
            </w:r>
            <w:r>
              <w:rPr>
                <w:rFonts w:eastAsia="Calibri"/>
                <w:i/>
                <w:iCs/>
                <w:lang w:eastAsia="en-US"/>
              </w:rPr>
              <w:t xml:space="preserve"> semestr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Liczba przypisanych punktów ECTS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1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Formy prowadzenia zajęć (liczba godzin)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 xml:space="preserve">ćwiczenia – </w:t>
            </w:r>
            <w:r>
              <w:rPr>
                <w:rFonts w:eastAsia="Calibri"/>
                <w:i/>
                <w:iCs/>
                <w:lang w:eastAsia="en-US"/>
              </w:rPr>
              <w:t>2</w:t>
            </w:r>
            <w:r>
              <w:rPr>
                <w:rFonts w:eastAsia="Calibri"/>
                <w:i/>
                <w:iCs/>
                <w:lang w:eastAsia="en-US"/>
              </w:rPr>
              <w:t>0h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Sposoby weryfikacji i oceny efektów uczenia się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zaliczenie na ocenę:</w:t>
            </w:r>
          </w:p>
          <w:p>
            <w:pPr>
              <w:pStyle w:val="Normal"/>
              <w:rPr>
                <w:rFonts w:eastAsia="Calibri"/>
                <w:bCs/>
                <w:i/>
                <w:i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□</w:t>
            </w:r>
            <w:r>
              <w:rPr/>
              <w:tab/>
            </w:r>
            <w:r>
              <w:rPr>
                <w:rFonts w:eastAsia="Calibri"/>
                <w:i/>
                <w:iCs/>
                <w:lang w:eastAsia="en-US"/>
              </w:rPr>
              <w:t>opisowe</w:t>
            </w:r>
          </w:p>
          <w:p>
            <w:pPr>
              <w:pStyle w:val="Normal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□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         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testowe</w:t>
            </w:r>
          </w:p>
          <w:p>
            <w:pPr>
              <w:pStyle w:val="Normal"/>
              <w:rPr>
                <w:rFonts w:eastAsia="Calibri"/>
                <w:b/>
                <w:bCs/>
                <w:i/>
                <w:i/>
                <w:iCs/>
                <w:lang w:eastAsia="en-US"/>
              </w:rPr>
            </w:pPr>
            <w:r>
              <w:rPr>
                <w:rFonts w:eastAsia="Calibri"/>
                <w:b/>
                <w:bCs/>
                <w:i/>
                <w:iCs/>
                <w:lang w:eastAsia="en-US"/>
              </w:rPr>
              <w:t>X</w:t>
            </w:r>
            <w:r>
              <w:rPr/>
              <w:tab/>
            </w:r>
            <w:r>
              <w:rPr>
                <w:rFonts w:eastAsia="Calibri"/>
                <w:b/>
                <w:bCs/>
                <w:i/>
                <w:iCs/>
                <w:lang w:eastAsia="en-US"/>
              </w:rPr>
              <w:t>praktyczne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□</w:t>
            </w:r>
            <w:r>
              <w:rPr>
                <w:rFonts w:eastAsia="Calibri"/>
                <w:i/>
                <w:lang w:eastAsia="en-US"/>
              </w:rPr>
              <w:tab/>
              <w:t>ustne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</w:r>
          </w:p>
          <w:p>
            <w:pPr>
              <w:pStyle w:val="Normal"/>
              <w:numPr>
                <w:ilvl w:val="0"/>
                <w:numId w:val="5"/>
              </w:numPr>
              <w:ind w:hanging="360" w:left="347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zaliczenie bez oceny</w:t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</w:r>
          </w:p>
          <w:p>
            <w:pPr>
              <w:pStyle w:val="Normal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egzamin końcowy: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opisowy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testowy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praktyczny</w:t>
            </w:r>
          </w:p>
          <w:p>
            <w:pPr>
              <w:pStyle w:val="Normal"/>
              <w:numPr>
                <w:ilvl w:val="0"/>
                <w:numId w:val="4"/>
              </w:numPr>
              <w:ind w:hanging="657" w:left="72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ustny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Prof. dr hab. n. zdr. Beata Karakiewicz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Adiunkt dydaktyczny lub osoba odpowiedzialna za przedmiot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mgr Krzysztof Dąbrowski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Web"/>
              <w:spacing w:beforeAutospacing="0" w:before="0" w:afterAutospacing="0" w:after="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Katedra Medycyny Społecznej.</w:t>
            </w:r>
          </w:p>
          <w:p>
            <w:pPr>
              <w:pStyle w:val="NormalWeb"/>
              <w:spacing w:beforeAutospacing="0" w:before="0" w:afterAutospacing="0" w:after="0"/>
              <w:rPr>
                <w:rFonts w:eastAsia="Calibri"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Zakład Medycyny Społecznej i Zdrowia Publicznego; Pomorski Uniwersytet Medyczny w Szczecinie,</w:t>
            </w:r>
            <w:r>
              <w:rPr>
                <w:rFonts w:eastAsia="Calibri"/>
                <w:lang w:eastAsia="en-US"/>
              </w:rPr>
              <w:t xml:space="preserve"> </w:t>
            </w:r>
            <w:r>
              <w:rPr/>
              <w:br/>
            </w:r>
            <w:r>
              <w:rPr>
                <w:rFonts w:eastAsia="Calibri"/>
                <w:lang w:eastAsia="en-US"/>
              </w:rPr>
              <w:t>ul. Żołnierska 48, pok. 303,</w:t>
            </w:r>
          </w:p>
          <w:p>
            <w:pPr>
              <w:pStyle w:val="NormalWeb"/>
              <w:spacing w:beforeAutospacing="0" w:before="0" w:afterAutospacing="0" w:after="0"/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71-210 Szczecin. tel. +48 91 48 00 920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Strona internetowa jednostki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/>
                <w:i/>
                <w:iCs/>
                <w:lang w:eastAsia="en-US"/>
              </w:rPr>
            </w:pPr>
            <w:r>
              <w:rPr>
                <w:rFonts w:eastAsia="Calibri"/>
                <w:i/>
                <w:iCs/>
                <w:lang w:eastAsia="en-US"/>
              </w:rPr>
              <w:t>https://www.pum.edu.pl/studenci/informacje_z_jednostek/wnoz/katedra_medycyny_spolecznej/zaklad_medycyny_spolecznej_i_zdrowia_publicznego/</w:t>
            </w:r>
          </w:p>
        </w:tc>
      </w:tr>
      <w:tr>
        <w:trPr>
          <w:trHeight w:val="397" w:hRule="atLeast"/>
        </w:trPr>
        <w:tc>
          <w:tcPr>
            <w:tcW w:w="47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4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tabs>
                <w:tab w:val="clear" w:pos="708"/>
                <w:tab w:val="left" w:pos="4073" w:leader="none"/>
              </w:tabs>
              <w:rPr>
                <w:rFonts w:eastAsia="Calibri"/>
                <w:i/>
                <w:i/>
                <w:lang w:eastAsia="en-US"/>
              </w:rPr>
            </w:pPr>
            <w:r>
              <w:rPr>
                <w:rFonts w:eastAsia="Calibri"/>
                <w:b/>
                <w:i/>
                <w:lang w:eastAsia="en-US"/>
              </w:rPr>
              <w:t>polski</w:t>
            </w:r>
          </w:p>
        </w:tc>
      </w:tr>
    </w:tbl>
    <w:p>
      <w:pPr>
        <w:pStyle w:val="Normal"/>
        <w:spacing w:lineRule="auto" w:line="276" w:before="0" w:after="200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</w:r>
    </w:p>
    <w:p>
      <w:pPr>
        <w:pStyle w:val="Normal"/>
        <w:spacing w:lineRule="auto" w:line="276" w:before="0" w:after="200"/>
        <w:rPr>
          <w:rFonts w:eastAsia="Calibri"/>
          <w:b/>
          <w:lang w:eastAsia="en-US"/>
        </w:rPr>
      </w:pPr>
      <w:r>
        <w:rPr>
          <w:rFonts w:eastAsia="Calibri"/>
          <w:b/>
          <w:bCs/>
          <w:lang w:eastAsia="en-US"/>
        </w:rPr>
        <w:t xml:space="preserve">     </w:t>
      </w:r>
      <w:r>
        <w:rPr>
          <w:rFonts w:eastAsia="Calibri"/>
          <w:b/>
          <w:bCs/>
          <w:lang w:eastAsia="en-US"/>
        </w:rPr>
        <w:t>*zaznaczyć odpowiednio, zmieniając □ na X</w:t>
      </w:r>
    </w:p>
    <w:p>
      <w:pPr>
        <w:pStyle w:val="Normal"/>
        <w:spacing w:lineRule="auto" w:line="276" w:before="0" w:after="200"/>
        <w:jc w:val="center"/>
        <w:rPr>
          <w:rFonts w:eastAsia="Calibri"/>
          <w:b/>
          <w:bCs/>
          <w:lang w:eastAsia="en-US"/>
        </w:rPr>
      </w:pPr>
      <w:r>
        <w:rPr>
          <w:rFonts w:eastAsia="Calibri"/>
          <w:b/>
          <w:bCs/>
          <w:lang w:eastAsia="en-US"/>
        </w:rPr>
        <w:t>Informacje szczegółowe</w:t>
      </w:r>
    </w:p>
    <w:tbl>
      <w:tblPr>
        <w:tblW w:w="9552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2391"/>
        <w:gridCol w:w="1889"/>
        <w:gridCol w:w="5272"/>
      </w:tblGrid>
      <w:tr>
        <w:trPr>
          <w:trHeight w:val="397" w:hRule="atLeast"/>
        </w:trPr>
        <w:tc>
          <w:tcPr>
            <w:tcW w:w="428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Cele zajęć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>
                <w:rFonts w:eastAsia="Calibri"/>
                <w:lang w:eastAsia="en-US"/>
              </w:rPr>
              <w:t xml:space="preserve">Celem zajęć jest nabycie przez studentów umiejętności wykorzystania technik komunikacji </w:t>
            </w:r>
            <w:r>
              <w:rPr>
                <w:rFonts w:eastAsia="Calibri"/>
                <w:lang w:eastAsia="en-US"/>
              </w:rPr>
              <w:t>(z naciskiem na aspekt interpersonalny)</w:t>
            </w:r>
            <w:r>
              <w:rPr>
                <w:rFonts w:eastAsia="Calibri"/>
                <w:lang w:eastAsia="en-US"/>
              </w:rPr>
              <w:t xml:space="preserve"> i kanałów komunikacji do pracy z pacjentem, jego rodziną, współpracownikami i przełożonym w celu zwiększenia efektywności współpracy w zespole opieki zdrowotnej.</w:t>
            </w:r>
          </w:p>
          <w:p>
            <w:pPr>
              <w:pStyle w:val="Normal"/>
              <w:rPr/>
            </w:pPr>
            <w:r>
              <w:rPr>
                <w:rFonts w:eastAsia="Calibri"/>
                <w:lang w:eastAsia="en-US"/>
              </w:rPr>
              <w:t>Nabycie wiedzy wykorzystania różnych socjotechnik (perswazji, wywierania wpływu) dla poprawy komunikacji interpersonalnej i efektywniejszego realizowania zamierzonych celów w pracy z pacjentem i życiu osobistym.</w:t>
            </w:r>
          </w:p>
        </w:tc>
      </w:tr>
      <w:tr>
        <w:trPr>
          <w:trHeight w:val="397" w:hRule="atLeast"/>
        </w:trPr>
        <w:tc>
          <w:tcPr>
            <w:tcW w:w="239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highlight w:val="yellow"/>
                <w:lang w:eastAsia="en-US"/>
              </w:rPr>
            </w:pPr>
            <w:r>
              <w:rPr>
                <w:rFonts w:eastAsia="Calibri"/>
                <w:lang w:eastAsia="en-US"/>
              </w:rPr>
              <w:t>Wymagania wstępne w zakresie</w:t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i w:val="false"/>
                <w:i w:val="false"/>
                <w:iCs w:val="false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Podstawowe umiejętności komunikacyjne oraz wiedza w zakresie organizacji i funkcjonowania podstawowej opieki zdrowotnej w Polsce i na świecie, z uwzględnieniem zadań pielęgniarki i innych pracowników ochrony zdrowia</w:t>
            </w:r>
          </w:p>
        </w:tc>
      </w:tr>
      <w:tr>
        <w:trPr>
          <w:trHeight w:val="397" w:hRule="atLeast"/>
        </w:trPr>
        <w:tc>
          <w:tcPr>
            <w:tcW w:w="239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Współpracy w grupie i zasad działania zespołu</w:t>
            </w:r>
          </w:p>
        </w:tc>
      </w:tr>
      <w:tr>
        <w:trPr>
          <w:trHeight w:val="397" w:hRule="atLeast"/>
        </w:trPr>
        <w:tc>
          <w:tcPr>
            <w:tcW w:w="2391" w:type="dxa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18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2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i w:val="false"/>
                <w:iCs w:val="false"/>
                <w:lang w:eastAsia="en-US"/>
              </w:rPr>
              <w:t>Otwartość, wrażliwość na innych oraz szacunek do rozmówcy</w:t>
            </w:r>
          </w:p>
        </w:tc>
      </w:tr>
    </w:tbl>
    <w:p>
      <w:pPr>
        <w:pStyle w:val="Normal"/>
        <w:spacing w:lineRule="auto" w:line="276" w:before="0" w:after="200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tbl>
      <w:tblPr>
        <w:tblW w:w="10065" w:type="dxa"/>
        <w:jc w:val="center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1778"/>
        <w:gridCol w:w="2846"/>
        <w:gridCol w:w="472"/>
        <w:gridCol w:w="115"/>
        <w:gridCol w:w="615"/>
        <w:gridCol w:w="612"/>
        <w:gridCol w:w="611"/>
        <w:gridCol w:w="739"/>
        <w:gridCol w:w="485"/>
        <w:gridCol w:w="611"/>
        <w:gridCol w:w="619"/>
        <w:gridCol w:w="558"/>
        <w:gridCol w:w="2"/>
      </w:tblGrid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EFEKTY UCZENIA SIĘ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563" w:hRule="atLeast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Student, który zaliczył ZAJĘCIA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wie/umie/potrafi:</w:t>
            </w:r>
          </w:p>
        </w:tc>
        <w:tc>
          <w:tcPr>
            <w:tcW w:w="2577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SYMBOL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(odniesienie do)</w:t>
            </w:r>
          </w:p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efektów uczenia się dla kierunku</w:t>
            </w:r>
          </w:p>
        </w:tc>
        <w:tc>
          <w:tcPr>
            <w:tcW w:w="2273" w:type="dxa"/>
            <w:gridSpan w:val="4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Sposób weryfikacji efektów UCZENIA SIĘ*</w:t>
            </w:r>
          </w:p>
          <w:p>
            <w:pPr>
              <w:pStyle w:val="Normal"/>
              <w:spacing w:lineRule="auto" w:line="276"/>
              <w:jc w:val="center"/>
              <w:rPr>
                <w:b/>
                <w:strike/>
              </w:rPr>
            </w:pPr>
            <w:r>
              <w:rPr>
                <w:b/>
                <w:strike/>
              </w:rPr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W01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opisać zasady komunikacji w sytuacjach typowych dla wykonywania zawodu ratownika medycznego;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B.W19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K01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>aktywnie słuchać, nawiązywać kontakty interpersonalne, skutecznie i empatycznie porozumiewać się z pacjentem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K1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K02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  <w:t xml:space="preserve">organizować pracę własną i współpracę w zespole </w:t>
            </w: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specjalistów, w tym z przedstawicielami innych zawodów medycznych, także w środowisku wielokulturowym i wielonarodowościowym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K4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86" w:hRule="atLeast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K03</w:t>
            </w:r>
          </w:p>
        </w:tc>
        <w:tc>
          <w:tcPr>
            <w:tcW w:w="3433" w:type="dxa"/>
            <w:gridSpan w:val="3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b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u w:val="none"/>
                <w:em w:val="none"/>
              </w:rPr>
              <w:t>dostrzegać i rozpoznawać własne ograniczenia, dokonywać samooceny deficytów i potrzeb edukacyjnych;</w:t>
            </w:r>
          </w:p>
        </w:tc>
        <w:tc>
          <w:tcPr>
            <w:tcW w:w="2577" w:type="dxa"/>
            <w:gridSpan w:val="4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K5</w:t>
            </w:r>
          </w:p>
        </w:tc>
        <w:tc>
          <w:tcPr>
            <w:tcW w:w="2273" w:type="dxa"/>
            <w:gridSpan w:val="4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O, S, PS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spacing w:lineRule="auto" w:line="276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 efektów UCZENIA SIĘ</w:t>
            </w:r>
            <w:r>
              <w:rPr>
                <w:rFonts w:eastAsia="Calibri"/>
                <w:b/>
                <w:lang w:eastAsia="en-US"/>
              </w:rPr>
              <w:t xml:space="preserve"> w odniesieniu do formy zajęć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23" w:hRule="atLeast"/>
          <w:cantSplit w:val="true"/>
        </w:trPr>
        <w:tc>
          <w:tcPr>
            <w:tcW w:w="1778" w:type="dxa"/>
            <w:vMerge w:val="restart"/>
            <w:tcBorders>
              <w:top w:val="single" w:sz="6" w:space="0" w:color="000000"/>
              <w:left w:val="single" w:sz="6" w:space="0" w:color="000000"/>
              <w:bottom w:val="double" w:sz="4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3433" w:type="dxa"/>
            <w:gridSpan w:val="3"/>
            <w:vMerge w:val="restart"/>
            <w:tcBorders>
              <w:top w:val="single" w:sz="6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Efekty uczenia się</w:t>
            </w:r>
          </w:p>
        </w:tc>
        <w:tc>
          <w:tcPr>
            <w:tcW w:w="4852" w:type="dxa"/>
            <w:gridSpan w:val="9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>
        <w:trPr>
          <w:trHeight w:val="1561" w:hRule="atLeast"/>
          <w:cantSplit w:val="true"/>
        </w:trPr>
        <w:tc>
          <w:tcPr>
            <w:tcW w:w="1778" w:type="dxa"/>
            <w:vMerge w:val="continue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>
            <w:pPr>
              <w:pStyle w:val="Normal"/>
              <w:spacing w:lineRule="auto" w:line="276" w:before="0" w:after="200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3433" w:type="dxa"/>
            <w:gridSpan w:val="3"/>
            <w:vMerge w:val="continue"/>
            <w:tcBorders>
              <w:top w:val="double" w:sz="4" w:space="0" w:color="000000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vAlign w:val="center"/>
          </w:tcPr>
          <w:p>
            <w:pPr>
              <w:pStyle w:val="Normal"/>
              <w:spacing w:lineRule="auto" w:line="276" w:before="0" w:after="200"/>
              <w:jc w:val="center"/>
              <w:rPr>
                <w:b/>
              </w:rPr>
            </w:pPr>
            <w:r>
              <w:rPr>
                <w:b/>
              </w:rPr>
            </w:r>
          </w:p>
        </w:tc>
        <w:tc>
          <w:tcPr>
            <w:tcW w:w="61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Wykład</w:t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b/>
              </w:rPr>
            </w:pPr>
            <w:r>
              <w:rPr>
                <w:b/>
              </w:rPr>
              <w:t>Seminarium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 kliniczne</w:t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Symulacje</w:t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E-learning</w:t>
            </w:r>
          </w:p>
        </w:tc>
        <w:tc>
          <w:tcPr>
            <w:tcW w:w="61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  <w:t>PWS</w:t>
            </w:r>
          </w:p>
        </w:tc>
        <w:tc>
          <w:tcPr>
            <w:tcW w:w="560" w:type="dxa"/>
            <w:gridSpan w:val="2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>
                <w:b/>
              </w:rPr>
            </w:pPr>
            <w:r>
              <w:rPr>
                <w:b/>
              </w:rPr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W01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B.W19</w:t>
            </w:r>
          </w:p>
        </w:tc>
        <w:tc>
          <w:tcPr>
            <w:tcW w:w="61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K01</w:t>
            </w:r>
          </w:p>
        </w:tc>
        <w:tc>
          <w:tcPr>
            <w:tcW w:w="3433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K1</w:t>
            </w:r>
          </w:p>
        </w:tc>
        <w:tc>
          <w:tcPr>
            <w:tcW w:w="61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top w:val="single" w:sz="6" w:space="0" w:color="000000"/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top w:val="double" w:sz="4" w:space="0" w:color="000000"/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K02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K4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  <w:cantSplit w:val="true"/>
        </w:trPr>
        <w:tc>
          <w:tcPr>
            <w:tcW w:w="1778" w:type="dxa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K03</w:t>
            </w:r>
          </w:p>
        </w:tc>
        <w:tc>
          <w:tcPr>
            <w:tcW w:w="3433" w:type="dxa"/>
            <w:gridSpan w:val="3"/>
            <w:tcBorders>
              <w:left w:val="single" w:sz="6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K5</w:t>
            </w:r>
          </w:p>
        </w:tc>
        <w:tc>
          <w:tcPr>
            <w:tcW w:w="61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rPr/>
            </w:pPr>
            <w:r>
              <w:rPr/>
            </w:r>
          </w:p>
        </w:tc>
        <w:tc>
          <w:tcPr>
            <w:tcW w:w="612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  <w:t>X</w:t>
            </w:r>
          </w:p>
        </w:tc>
        <w:tc>
          <w:tcPr>
            <w:tcW w:w="739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485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1" w:type="dxa"/>
            <w:tcBorders>
              <w:left w:val="double" w:sz="4" w:space="0" w:color="000000"/>
              <w:bottom w:val="single" w:sz="6" w:space="0" w:color="000000"/>
              <w:right w:val="double" w:sz="4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619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558" w:type="dxa"/>
            <w:tcBorders>
              <w:left w:val="double" w:sz="4" w:space="0" w:color="000000"/>
              <w:bottom w:val="single" w:sz="6" w:space="0" w:color="000000"/>
              <w:right w:val="single" w:sz="6" w:space="0" w:color="000000"/>
            </w:tcBorders>
            <w:shd w:color="auto" w:fill="auto" w:val="clear"/>
            <w:textDirection w:val="btLr"/>
            <w:vAlign w:val="center"/>
          </w:tcPr>
          <w:p>
            <w:pPr>
              <w:pStyle w:val="Normal"/>
              <w:spacing w:lineRule="auto" w:line="276"/>
              <w:jc w:val="center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TABELA TREŚCI PROGRAMOWYCH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7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Lp. treści programowej</w:t>
            </w:r>
          </w:p>
        </w:tc>
        <w:tc>
          <w:tcPr>
            <w:tcW w:w="33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Treści programowe</w:t>
            </w:r>
          </w:p>
        </w:tc>
        <w:tc>
          <w:tcPr>
            <w:tcW w:w="1342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Liczba godzin</w:t>
            </w:r>
          </w:p>
        </w:tc>
        <w:tc>
          <w:tcPr>
            <w:tcW w:w="3623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Odniesienie do efektów uczenia się do ZAJĘĆ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72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Semestr letni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/>
                <w:bCs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b/>
                <w:bCs/>
                <w:i w:val="false"/>
                <w:iCs w:val="false"/>
                <w:lang w:eastAsia="en-US"/>
              </w:rPr>
              <w:t>Ćwiczenia:</w:t>
            </w:r>
          </w:p>
        </w:tc>
        <w:tc>
          <w:tcPr>
            <w:tcW w:w="134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b/>
                <w:bCs/>
              </w:rPr>
            </w:pPr>
            <w:r>
              <w:rPr>
                <w:b/>
                <w:bCs/>
              </w:rPr>
              <w:t>10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_1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Funkcjonowanie grupy, organizacji, instytucji, populacji, społeczności i ekosystemu – teoria i ćwiczenia praktyczne</w:t>
            </w:r>
          </w:p>
        </w:tc>
        <w:tc>
          <w:tcPr>
            <w:tcW w:w="134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6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TK</w:t>
            </w:r>
            <w:r>
              <w:rPr>
                <w:u w:val="single"/>
              </w:rPr>
              <w:t>_2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Kreatywne rozwiązywanie problemów w zespole i sztuka 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 xml:space="preserve">wypracowywania </w:t>
            </w: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kompromisu</w:t>
            </w:r>
          </w:p>
        </w:tc>
        <w:tc>
          <w:tcPr>
            <w:tcW w:w="134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6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K01-K03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TK_3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Wpływ komunikacji niewerbalnej na komunikację interpersonalną</w:t>
            </w:r>
          </w:p>
        </w:tc>
        <w:tc>
          <w:tcPr>
            <w:tcW w:w="134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W01, K01-K03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261" w:hRule="atLeast"/>
        </w:trPr>
        <w:tc>
          <w:tcPr>
            <w:tcW w:w="177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TK_4</w:t>
            </w:r>
          </w:p>
        </w:tc>
        <w:tc>
          <w:tcPr>
            <w:tcW w:w="3318" w:type="dxa"/>
            <w:gridSpan w:val="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bidi w:val="0"/>
              <w:spacing w:lineRule="auto" w:line="259" w:beforeAutospacing="0" w:before="0" w:afterAutospacing="0" w:after="0"/>
              <w:ind w:left="0" w:right="0"/>
              <w:jc w:val="left"/>
              <w:rPr>
                <w:rFonts w:eastAsia="Calibri"/>
                <w:b w:val="false"/>
                <w:bCs w:val="false"/>
                <w:i/>
                <w:i/>
                <w:iCs/>
                <w:lang w:eastAsia="en-US"/>
              </w:rPr>
            </w:pPr>
            <w:r>
              <w:rPr>
                <w:rFonts w:eastAsia="Calibri"/>
                <w:b w:val="false"/>
                <w:bCs w:val="false"/>
                <w:i/>
                <w:iCs/>
                <w:lang w:eastAsia="en-US"/>
              </w:rPr>
              <w:t>Interakcje w przestrzeni ochrony zdrowia – wpływ stylu komunikowania na funkcjonowanie grupy i jednostki</w:t>
            </w:r>
          </w:p>
        </w:tc>
        <w:tc>
          <w:tcPr>
            <w:tcW w:w="134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/>
            </w:pPr>
            <w:r>
              <w:rPr/>
              <w:t>4</w:t>
            </w:r>
          </w:p>
        </w:tc>
        <w:tc>
          <w:tcPr>
            <w:tcW w:w="3623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/>
              <w:t>W01, K01-K03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Zalecana literatura: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Literatura podstawowa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lang w:val="fr-FR" w:eastAsia="en-US"/>
              </w:rPr>
              <w:t xml:space="preserve">1. 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Bielińska I., Jakubczyńska Z. :</w:t>
            </w:r>
            <w:r>
              <w:rPr>
                <w:rFonts w:eastAsia="Calibri"/>
                <w:i/>
                <w:iCs/>
                <w:lang w:val="fr-FR" w:eastAsia="en-US"/>
              </w:rPr>
              <w:t xml:space="preserve">Efektywny zespół. Jak razem osiągnąć więcej ? Strategie budowania silnego zespołu ; 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wyd. Samo sedno, 2016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1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i w:val="false"/>
                <w:iCs w:val="false"/>
                <w:lang w:val="fr-FR" w:eastAsia="en-US"/>
              </w:rPr>
              <w:t xml:space="preserve">2. Dobska M., Rogoziński K.: </w:t>
            </w:r>
            <w:r>
              <w:rPr>
                <w:rFonts w:eastAsia="Calibri"/>
                <w:i/>
                <w:iCs/>
                <w:lang w:val="fr-FR" w:eastAsia="en-US"/>
              </w:rPr>
              <w:t>Podstawy zarządzania zakładem opieki zdrowotnej 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Nukowe PWN, Warszawa 2008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Literatura uzupełniająca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1. Kwaśniewska J. M.: </w:t>
            </w:r>
            <w:r>
              <w:rPr>
                <w:rFonts w:eastAsia="Calibri"/>
                <w:i/>
                <w:iCs/>
                <w:lang w:eastAsia="en-US"/>
              </w:rPr>
              <w:t>Droga do kreacji, czyli trening twórczości XXI wieku</w:t>
            </w:r>
            <w:r>
              <w:rPr>
                <w:rFonts w:eastAsia="Calibri"/>
                <w:i w:val="false"/>
                <w:iCs w:val="false"/>
                <w:lang w:eastAsia="en-US"/>
              </w:rPr>
              <w:t>; Wyd. Naukowe PWN, Warszawa 2023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1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lang w:val="fr-FR" w:eastAsia="en-US"/>
              </w:rPr>
              <w:t xml:space="preserve">2. Sanchez R., Bullock D.: </w:t>
            </w:r>
            <w:r>
              <w:rPr>
                <w:rFonts w:eastAsia="Calibri"/>
                <w:i/>
                <w:iCs/>
                <w:lang w:val="fr-FR" w:eastAsia="en-US"/>
              </w:rPr>
              <w:t>Jak komunikować się efektywnie? Paszport do komunikacji globalnej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Rebis, Poznań 2022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300" w:hRule="atLeast"/>
        </w:trPr>
        <w:tc>
          <w:tcPr>
            <w:tcW w:w="10061" w:type="dxa"/>
            <w:gridSpan w:val="12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i w:val="false"/>
                <w:i w:val="false"/>
                <w:iCs w:val="false"/>
                <w:lang w:val="fr-FR" w:eastAsia="en-US"/>
              </w:rPr>
            </w:pPr>
            <w:r>
              <w:rPr>
                <w:rFonts w:eastAsia="Calibri"/>
                <w:i w:val="false"/>
                <w:iCs w:val="false"/>
                <w:lang w:val="fr-FR" w:eastAsia="en-US"/>
              </w:rPr>
              <w:t xml:space="preserve">3. Duhigg C.: </w:t>
            </w:r>
            <w:r>
              <w:rPr>
                <w:rFonts w:eastAsia="Calibri"/>
                <w:i/>
                <w:iCs/>
                <w:lang w:val="fr-FR" w:eastAsia="en-US"/>
              </w:rPr>
              <w:t>Siła komunikacji </w:t>
            </w:r>
            <w:r>
              <w:rPr>
                <w:rFonts w:eastAsia="Calibri"/>
                <w:i w:val="false"/>
                <w:iCs w:val="false"/>
                <w:lang w:val="fr-FR" w:eastAsia="en-US"/>
              </w:rPr>
              <w:t>; Wyd. Naukowe PWN, Warszawa 2024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Nakład pracy studenta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584" w:hRule="atLeast"/>
        </w:trPr>
        <w:tc>
          <w:tcPr>
            <w:tcW w:w="4624" w:type="dxa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nakładu pracy studenta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(udział w zajęciach, aktywność, przygotowanie sprawozdania, itp.)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Obciążenie studenta [h]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</w:tr>
      <w:tr>
        <w:trPr>
          <w:trHeight w:val="584" w:hRule="atLeast"/>
        </w:trPr>
        <w:tc>
          <w:tcPr>
            <w:tcW w:w="4624" w:type="dxa"/>
            <w:gridSpan w:val="2"/>
            <w:vMerge w:val="continue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jc w:val="center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 ocenie (opinii) nauczyciela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Godziny kontaktowe z nauczycielem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E-learning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ćwiczeń/seminarium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Czytanie wskazanej literatury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prac pisemnych (zadań)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kolokwium/kartkówki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Przygotowanie do testu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Sumaryczne obciążenie pracy studenta</w:t>
            </w:r>
          </w:p>
        </w:tc>
        <w:tc>
          <w:tcPr>
            <w:tcW w:w="5439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30</w:t>
            </w:r>
          </w:p>
        </w:tc>
      </w:tr>
      <w:tr>
        <w:trPr>
          <w:trHeight w:val="400" w:hRule="atLeast"/>
        </w:trPr>
        <w:tc>
          <w:tcPr>
            <w:tcW w:w="462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Punkty ECTS</w:t>
            </w:r>
          </w:p>
        </w:tc>
        <w:tc>
          <w:tcPr>
            <w:tcW w:w="5437" w:type="dxa"/>
            <w:gridSpan w:val="10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D9D9D9" w:themeFill="background1" w:themeFillShade="d9" w:val="clear"/>
            <w:vAlign w:val="center"/>
          </w:tcPr>
          <w:p>
            <w:pPr>
              <w:pStyle w:val="Normal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Uwagi</w:t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  <w:tr>
        <w:trPr>
          <w:trHeight w:val="400" w:hRule="atLeast"/>
        </w:trPr>
        <w:tc>
          <w:tcPr>
            <w:tcW w:w="10061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color="auto" w:fill="auto" w:val="clear"/>
            <w:vAlign w:val="center"/>
          </w:tcPr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FORMA ZALICZENIA:</w:t>
            </w:r>
          </w:p>
          <w:p>
            <w:pPr>
              <w:pStyle w:val="Normal"/>
              <w:rPr>
                <w:rFonts w:ascii="Times New Roman" w:hAnsi="Times New Roman"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Zaliczenie zadania zleconego przez wykładowcę ocenionego zgodnie z wytycznymi przedstawionymi na pierwszych zajęciach.</w:t>
            </w:r>
          </w:p>
          <w:p>
            <w:pPr>
              <w:pStyle w:val="Normal"/>
              <w:rPr>
                <w:rFonts w:ascii="Times New Roman" w:hAnsi="Times New Roman"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Obecność i aktywne uczestniczenie zajęciach.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WARUNEK ZALICZENIA:</w:t>
            </w:r>
          </w:p>
          <w:p>
            <w:pPr>
              <w:pStyle w:val="ListParagraph"/>
              <w:numPr>
                <w:ilvl w:val="0"/>
                <w:numId w:val="3"/>
              </w:numPr>
              <w:spacing w:lineRule="auto" w:line="240" w:beforeAutospacing="0" w:before="240" w:afterAutospacing="0" w:after="240"/>
              <w:contextualSpacing/>
              <w:jc w:val="left"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>Wykonanie i prezentacja zadania, odnoszącego się do treści zajęć zgodnie z wytycznymi wykładowcy, przedstawionymi na pierwszych zajęciach,</w:t>
            </w:r>
          </w:p>
          <w:p>
            <w:pPr>
              <w:pStyle w:val="ListParagraph"/>
              <w:numPr>
                <w:ilvl w:val="0"/>
                <w:numId w:val="2"/>
              </w:numPr>
              <w:spacing w:beforeAutospacing="0" w:before="240" w:afterAutospacing="0" w:after="240"/>
              <w:contextualSpacing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>aktywne uczestnictwo w pracach grupowych i indywidualnych podczas zajęć,</w:t>
            </w:r>
          </w:p>
          <w:p>
            <w:pPr>
              <w:pStyle w:val="ListParagraph"/>
              <w:numPr>
                <w:ilvl w:val="0"/>
                <w:numId w:val="1"/>
              </w:numPr>
              <w:spacing w:beforeAutospacing="0" w:before="240" w:afterAutospacing="0" w:after="240"/>
              <w:contextualSpacing/>
              <w:rPr>
                <w:rFonts w:ascii="Times New Roman" w:hAnsi="Times New Roman" w:eastAsia="Times New Roman" w:cs="Times New Roman"/>
                <w:color w:themeColor="text1" w:val="000000"/>
                <w:sz w:val="24"/>
                <w:szCs w:val="24"/>
                <w:lang w:val="pl-PL"/>
              </w:rPr>
            </w:pP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 xml:space="preserve">obecność na wszystkich zajęciach lub usprawiedliwienie oraz nadrobienie nieobecności (w sposób określony przez wykładowcę) </w:t>
            </w:r>
            <w:r>
              <w:rPr>
                <w:rFonts w:eastAsia="Times New Roman" w:cs="Times New Roman"/>
                <w:b/>
                <w:bCs/>
                <w:color w:themeColor="text1" w:val="000000"/>
                <w:sz w:val="24"/>
                <w:szCs w:val="24"/>
                <w:lang w:val="pl-PL"/>
              </w:rPr>
              <w:t>–</w:t>
            </w:r>
            <w:r>
              <w:rPr>
                <w:rFonts w:eastAsia="Times New Roman" w:cs="Times New Roman"/>
                <w:color w:themeColor="text1" w:val="000000"/>
                <w:sz w:val="24"/>
                <w:szCs w:val="24"/>
                <w:lang w:val="pl-PL"/>
              </w:rPr>
              <w:t xml:space="preserve"> zgodnie z Regulaminem studiów PUM.</w:t>
            </w:r>
          </w:p>
          <w:p>
            <w:pPr>
              <w:pStyle w:val="Normal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</w:r>
          </w:p>
        </w:tc>
        <w:tc>
          <w:tcPr>
            <w:tcW w:w="2" w:type="dxa"/>
            <w:tcBorders/>
          </w:tcPr>
          <w:p>
            <w:pPr>
              <w:pStyle w:val="Normal"/>
              <w:rPr/>
            </w:pPr>
            <w:r>
              <w:rPr/>
            </w:r>
          </w:p>
        </w:tc>
      </w:tr>
    </w:tbl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*Przykładowe sposoby weryfikacji efektów kształcenia: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EP – egzamin pisemny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EU - egzamin ustny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ET – egzamin testowy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EPR – egzamin praktyczny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K – kolokwium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R – referat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 – sprawdzenie umiejętności praktycznych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RZĆ – raport z ćwiczeń z dyskusją wyników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O - ocena aktywności i postawy studenta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SL - sprawozdanie laboratoryjne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SP – studium przypadku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PS - ocena umiejętności pracy samodzielnej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W – kartkówka przed rozpoczęciem zajęć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PM – prezentacja multimedialna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  <w:t>i inne</w:t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p>
      <w:pPr>
        <w:pStyle w:val="Normal"/>
        <w:rPr>
          <w:rFonts w:eastAsia="Calibri"/>
          <w:lang w:eastAsia="en-US"/>
        </w:rPr>
      </w:pPr>
      <w:r>
        <w:rPr>
          <w:rFonts w:eastAsia="Calibri"/>
          <w:lang w:eastAsia="en-US"/>
        </w:rPr>
      </w:r>
    </w:p>
    <w:sectPr>
      <w:footerReference w:type="default" r:id="rId5"/>
      <w:type w:val="nextPage"/>
      <w:pgSz w:w="11906" w:h="16838"/>
      <w:pgMar w:left="851" w:right="991" w:gutter="0" w:header="0" w:top="567" w:footer="82" w:bottom="567"/>
      <w:pgNumType w:fmt="decimal"/>
      <w:formProt w:val="false"/>
      <w:textDirection w:val="lrTb"/>
      <w:docGrid w:type="default" w:linePitch="36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ee"/>
    <w:family w:val="roman"/>
    <w:pitch w:val="variable"/>
  </w:font>
  <w:font w:name="Times New Roman">
    <w:charset w:val="ee"/>
    <w:family w:val="roman"/>
    <w:pitch w:val="variable"/>
  </w:font>
  <w:font w:name="Tahoma">
    <w:charset w:val="ee"/>
    <w:family w:val="roman"/>
    <w:pitch w:val="variable"/>
  </w:font>
  <w:font w:name="Liberation Sans">
    <w:altName w:val="Arial"/>
    <w:charset w:val="ee"/>
    <w:family w:val="roman"/>
    <w:pitch w:val="variable"/>
  </w:font>
  <w:font w:name="Arial">
    <w:charset w:val="ee"/>
    <w:family w:val="roman"/>
    <w:pitch w:val="variable"/>
  </w:font>
  <w:font w:name="Aptos">
    <w:charset w:val="01"/>
    <w:family w:val="auto"/>
    <w:pitch w:val="default"/>
  </w:font>
  <w:font w:name="Courier New">
    <w:charset w:val="01"/>
    <w:family w:val="modern"/>
    <w:pitch w:val="fixed"/>
  </w:font>
  <w:font w:name="Wingdings">
    <w:charset w:val="02"/>
    <w:family w:val="auto"/>
    <w:pitch w:val="variable"/>
  </w:font>
  <w:font w:name="Times New Roman">
    <w:charset w:val="01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p>
    <w:pPr>
      <w:pStyle w:val="Footer"/>
      <w:rPr>
        <w:sz w:val="16"/>
      </w:rPr>
    </w:pPr>
    <w:r>
      <w:rPr>
        <w:sz w:val="16"/>
      </w:rPr>
    </w:r>
  </w:p>
  <w:p>
    <w:pPr>
      <w:pStyle w:val="Footer"/>
      <w:jc w:val="right"/>
      <w:rPr>
        <w:sz w:val="16"/>
      </w:rPr>
    </w:pPr>
    <w:r>
      <w:rPr>
        <w:sz w:val="16"/>
      </w:rPr>
      <w:t xml:space="preserve">Strona </w:t>
    </w:r>
    <w:r>
      <w:rPr>
        <w:b/>
        <w:sz w:val="16"/>
      </w:rPr>
      <w:fldChar w:fldCharType="begin"/>
    </w:r>
    <w:r>
      <w:rPr>
        <w:sz w:val="16"/>
        <w:b/>
      </w:rPr>
      <w:instrText xml:space="preserve"> PAGE </w:instrText>
    </w:r>
    <w:r>
      <w:rPr>
        <w:sz w:val="16"/>
        <w:b/>
      </w:rPr>
      <w:fldChar w:fldCharType="separate"/>
    </w:r>
    <w:r>
      <w:rPr>
        <w:sz w:val="16"/>
        <w:b/>
      </w:rPr>
      <w:t>4</w:t>
    </w:r>
    <w:r>
      <w:rPr>
        <w:sz w:val="16"/>
        <w:b/>
      </w:rPr>
      <w:fldChar w:fldCharType="end"/>
    </w:r>
    <w:r>
      <w:rPr>
        <w:sz w:val="16"/>
      </w:rPr>
      <w:t xml:space="preserve"> z </w:t>
    </w:r>
    <w:r>
      <w:rPr>
        <w:b/>
        <w:sz w:val="16"/>
      </w:rPr>
      <w:fldChar w:fldCharType="begin"/>
    </w:r>
    <w:r>
      <w:rPr>
        <w:sz w:val="16"/>
        <w:b/>
      </w:rPr>
      <w:instrText xml:space="preserve"> NUMPAGES </w:instrText>
    </w:r>
    <w:r>
      <w:rPr>
        <w:sz w:val="16"/>
        <w:b/>
      </w:rPr>
      <w:fldChar w:fldCharType="separate"/>
    </w:r>
    <w:r>
      <w:rPr>
        <w:sz w:val="16"/>
        <w:b/>
      </w:rPr>
      <w:t>4</w:t>
    </w:r>
    <w:r>
      <w:rPr>
        <w:sz w:val="16"/>
        <w:b/>
      </w:rPr>
      <w:fldChar w:fldCharType="end"/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Aptos" w:hAnsi="Aptos" w:cs="Apto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">
    <w:lvl w:ilvl="0">
      <w:start w:val="1"/>
      <w:numFmt w:val="bullet"/>
      <w:lvlText w:val="□"/>
      <w:lvlJc w:val="center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5">
    <w:lvl w:ilvl="0">
      <w:start w:val="1"/>
      <w:numFmt w:val="bullet"/>
      <w:lvlText w:val="□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w="http://schemas.openxmlformats.org/wordprocessingml/2006/main">
  <w:zoom w:percent="110"/>
  <w:embedSystemFonts/>
  <w:defaultTabStop w:val="708"/>
  <w:autoHyphenation w:val="true"/>
  <w:compat>
    <w:doNotBreakWrappedTables/>
    <w:compatSetting w:name="compatibilityMode" w:uri="http://schemas.microsoft.com/office/word" w:val="12"/>
  </w:compat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Times New Roman" w:hAnsi="Times New Roman" w:eastAsia="Times New Roman" w:cs="Times New Roman"/>
        <w:lang w:val="pl-PL" w:eastAsia="ja-JP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567b9"/>
    <w:pPr>
      <w:widowControl/>
      <w:suppressAutoHyphens w:val="true"/>
      <w:bidi w:val="0"/>
      <w:spacing w:before="0" w:after="0"/>
      <w:jc w:val="left"/>
    </w:pPr>
    <w:rPr>
      <w:rFonts w:ascii="Times New Roman" w:hAnsi="Times New Roman" w:eastAsia="Times New Roman" w:cs="Times New Roman"/>
      <w:color w:val="auto"/>
      <w:kern w:val="0"/>
      <w:sz w:val="24"/>
      <w:szCs w:val="24"/>
      <w:lang w:val="pl-PL" w:eastAsia="pl-PL" w:bidi="ar-SA"/>
    </w:rPr>
  </w:style>
  <w:style w:type="paragraph" w:styleId="Heading1">
    <w:name w:val="Heading 1"/>
    <w:basedOn w:val="Normal"/>
    <w:next w:val="Normal"/>
    <w:link w:val="Nagwek1Znak"/>
    <w:qFormat/>
    <w:pPr>
      <w:keepNext w:val="true"/>
      <w:outlineLvl w:val="0"/>
    </w:pPr>
    <w:rPr>
      <w:b/>
      <w:bCs/>
    </w:rPr>
  </w:style>
  <w:style w:type="character" w:styleId="DefaultParagraphFont" w:default="1">
    <w:name w:val="Default Paragraph Font"/>
    <w:uiPriority w:val="1"/>
    <w:unhideWhenUsed/>
    <w:qFormat/>
    <w:rPr/>
  </w:style>
  <w:style w:type="character" w:styleId="Hyperlink">
    <w:name w:val="Hyperlink"/>
    <w:uiPriority w:val="99"/>
    <w:unhideWhenUsed/>
    <w:rsid w:val="00ef78c4"/>
    <w:rPr>
      <w:strike w:val="false"/>
      <w:dstrike w:val="false"/>
      <w:color w:val="BE0404"/>
      <w:u w:val="none"/>
      <w:effect w:val="none"/>
    </w:rPr>
  </w:style>
  <w:style w:type="character" w:styleId="Annotationreference">
    <w:name w:val="annotation reference"/>
    <w:uiPriority w:val="99"/>
    <w:semiHidden/>
    <w:unhideWhenUsed/>
    <w:qFormat/>
    <w:rsid w:val="00c02770"/>
    <w:rPr>
      <w:sz w:val="16"/>
      <w:szCs w:val="16"/>
    </w:rPr>
  </w:style>
  <w:style w:type="character" w:styleId="TekstkomentarzaZnak" w:customStyle="1">
    <w:name w:val="Tekst komentarza Znak"/>
    <w:basedOn w:val="DefaultParagraphFont"/>
    <w:link w:val="Annotationtext"/>
    <w:uiPriority w:val="99"/>
    <w:semiHidden/>
    <w:qFormat/>
    <w:rsid w:val="00c02770"/>
    <w:rPr/>
  </w:style>
  <w:style w:type="character" w:styleId="TematkomentarzaZnak" w:customStyle="1">
    <w:name w:val="Temat komentarza Znak"/>
    <w:link w:val="Annotationsubject"/>
    <w:uiPriority w:val="99"/>
    <w:semiHidden/>
    <w:qFormat/>
    <w:rsid w:val="00c02770"/>
    <w:rPr>
      <w:b/>
      <w:bCs/>
    </w:rPr>
  </w:style>
  <w:style w:type="character" w:styleId="TekstdymkaZnak" w:customStyle="1">
    <w:name w:val="Tekst dymka Znak"/>
    <w:link w:val="BalloonText"/>
    <w:uiPriority w:val="99"/>
    <w:semiHidden/>
    <w:qFormat/>
    <w:rsid w:val="00c02770"/>
    <w:rPr>
      <w:rFonts w:ascii="Tahoma" w:hAnsi="Tahoma" w:cs="Tahoma"/>
      <w:sz w:val="16"/>
      <w:szCs w:val="16"/>
    </w:rPr>
  </w:style>
  <w:style w:type="character" w:styleId="TekstprzypisudolnegoZnak" w:customStyle="1">
    <w:name w:val="Tekst przypisu dolnego Znak"/>
    <w:basedOn w:val="DefaultParagraphFont"/>
    <w:uiPriority w:val="99"/>
    <w:semiHidden/>
    <w:qFormat/>
    <w:rsid w:val="00190dc4"/>
    <w:rPr/>
  </w:style>
  <w:style w:type="character" w:styleId="Znakiprzypiswdolnych">
    <w:name w:val="Znaki przypisów dolnych"/>
    <w:uiPriority w:val="99"/>
    <w:semiHidden/>
    <w:unhideWhenUsed/>
    <w:qFormat/>
    <w:rsid w:val="00190dc4"/>
    <w:rPr>
      <w:vertAlign w:val="superscript"/>
    </w:rPr>
  </w:style>
  <w:style w:type="character" w:styleId="FootnoteReference">
    <w:name w:val="Footnote Reference"/>
    <w:rPr>
      <w:vertAlign w:val="superscript"/>
    </w:rPr>
  </w:style>
  <w:style w:type="character" w:styleId="Nagwek1Znak" w:customStyle="1">
    <w:name w:val="Nagłówek 1 Znak"/>
    <w:qFormat/>
    <w:rsid w:val="00190dc4"/>
    <w:rPr>
      <w:b/>
      <w:bCs/>
      <w:sz w:val="24"/>
      <w:szCs w:val="24"/>
    </w:rPr>
  </w:style>
  <w:style w:type="character" w:styleId="NagwekZnak" w:customStyle="1">
    <w:name w:val="Nagłówek Znak"/>
    <w:uiPriority w:val="99"/>
    <w:qFormat/>
    <w:rsid w:val="00146b7d"/>
    <w:rPr>
      <w:sz w:val="24"/>
      <w:szCs w:val="24"/>
    </w:rPr>
  </w:style>
  <w:style w:type="character" w:styleId="StopkaZnak" w:customStyle="1">
    <w:name w:val="Stopka Znak"/>
    <w:uiPriority w:val="99"/>
    <w:qFormat/>
    <w:rsid w:val="00146b7d"/>
    <w:rPr>
      <w:sz w:val="24"/>
      <w:szCs w:val="24"/>
    </w:rPr>
  </w:style>
  <w:style w:type="character" w:styleId="TekstprzypisukocowegoZnak" w:customStyle="1">
    <w:name w:val="Tekst przypisu końcowego Znak"/>
    <w:basedOn w:val="DefaultParagraphFont"/>
    <w:uiPriority w:val="99"/>
    <w:semiHidden/>
    <w:qFormat/>
    <w:rsid w:val="00942aac"/>
    <w:rPr/>
  </w:style>
  <w:style w:type="character" w:styleId="Znakiprzypiswkocowych">
    <w:name w:val="Znaki przypisów końcowych"/>
    <w:uiPriority w:val="99"/>
    <w:semiHidden/>
    <w:unhideWhenUsed/>
    <w:qFormat/>
    <w:rsid w:val="00942aac"/>
    <w:rPr>
      <w:vertAlign w:val="superscript"/>
    </w:rPr>
  </w:style>
  <w:style w:type="character" w:styleId="EndnoteReference">
    <w:name w:val="Endnote Reference"/>
    <w:rPr>
      <w:vertAlign w:val="superscript"/>
    </w:rPr>
  </w:style>
  <w:style w:type="character" w:styleId="UnresolvedMention">
    <w:name w:val="Unresolved Mention"/>
    <w:uiPriority w:val="99"/>
    <w:semiHidden/>
    <w:unhideWhenUsed/>
    <w:qFormat/>
    <w:rsid w:val="00c162a4"/>
    <w:rPr>
      <w:color w:val="605E5C"/>
      <w:shd w:fill="E1DFDD" w:val="clear"/>
    </w:rPr>
  </w:style>
  <w:style w:type="paragraph" w:styleId="Nagwek">
    <w:name w:val="Nagłówek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BodyText">
    <w:name w:val="Body Text"/>
    <w:basedOn w:val="Normal"/>
    <w:pPr>
      <w:spacing w:lineRule="auto" w:line="192"/>
    </w:pPr>
    <w:rPr>
      <w:rFonts w:ascii="Arial" w:hAnsi="Arial" w:cs="Arial"/>
      <w:sz w:val="28"/>
      <w:szCs w:val="20"/>
    </w:rPr>
  </w:style>
  <w:style w:type="paragraph" w:styleId="List">
    <w:name w:val="List"/>
    <w:basedOn w:val="BodyText"/>
    <w:pPr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ks">
    <w:name w:val="Indeks"/>
    <w:basedOn w:val="Normal"/>
    <w:qFormat/>
    <w:pPr>
      <w:suppressLineNumbers/>
    </w:pPr>
    <w:rPr>
      <w:rFonts w:cs="Lucida Sans"/>
    </w:rPr>
  </w:style>
  <w:style w:type="paragraph" w:styleId="BodyTextIndent">
    <w:name w:val="Body Text Indent"/>
    <w:basedOn w:val="Normal"/>
    <w:pPr>
      <w:spacing w:lineRule="auto" w:line="192"/>
      <w:ind w:left="360"/>
    </w:pPr>
    <w:rPr>
      <w:rFonts w:ascii="Arial" w:hAnsi="Arial" w:cs="Arial"/>
      <w:sz w:val="28"/>
      <w:szCs w:val="20"/>
    </w:rPr>
  </w:style>
  <w:style w:type="paragraph" w:styleId="NormalWeb">
    <w:name w:val="Normal (Web)"/>
    <w:basedOn w:val="Normal"/>
    <w:uiPriority w:val="99"/>
    <w:qFormat/>
    <w:rsid w:val="00e30deb"/>
    <w:pPr>
      <w:spacing w:beforeAutospacing="1" w:afterAutospacing="1"/>
    </w:pPr>
    <w:rPr/>
  </w:style>
  <w:style w:type="paragraph" w:styleId="Annotationtext">
    <w:name w:val="annotation text"/>
    <w:basedOn w:val="Normal"/>
    <w:link w:val="TekstkomentarzaZnak"/>
    <w:uiPriority w:val="99"/>
    <w:semiHidden/>
    <w:unhideWhenUsed/>
    <w:qFormat/>
    <w:rsid w:val="00c02770"/>
    <w:pPr/>
    <w:rPr>
      <w:sz w:val="20"/>
      <w:szCs w:val="20"/>
    </w:rPr>
  </w:style>
  <w:style w:type="paragraph" w:styleId="Annotationsubject">
    <w:name w:val="annotation subject"/>
    <w:basedOn w:val="Annotationtext"/>
    <w:next w:val="Annotationtext"/>
    <w:link w:val="TematkomentarzaZnak"/>
    <w:uiPriority w:val="99"/>
    <w:semiHidden/>
    <w:unhideWhenUsed/>
    <w:qFormat/>
    <w:rsid w:val="00c02770"/>
    <w:pPr/>
    <w:rPr>
      <w:b/>
      <w:bCs/>
    </w:rPr>
  </w:style>
  <w:style w:type="paragraph" w:styleId="BalloonText">
    <w:name w:val="Balloon Text"/>
    <w:basedOn w:val="Normal"/>
    <w:link w:val="TekstdymkaZnak"/>
    <w:uiPriority w:val="99"/>
    <w:semiHidden/>
    <w:unhideWhenUsed/>
    <w:qFormat/>
    <w:rsid w:val="00c02770"/>
    <w:pPr/>
    <w:rPr>
      <w:rFonts w:ascii="Tahoma" w:hAnsi="Tahoma"/>
      <w:sz w:val="16"/>
      <w:szCs w:val="16"/>
    </w:rPr>
  </w:style>
  <w:style w:type="paragraph" w:styleId="FootnoteText">
    <w:name w:val="Footnote Text"/>
    <w:basedOn w:val="Normal"/>
    <w:link w:val="TekstprzypisudolnegoZnak"/>
    <w:uiPriority w:val="99"/>
    <w:semiHidden/>
    <w:unhideWhenUsed/>
    <w:rsid w:val="00190dc4"/>
    <w:pPr/>
    <w:rPr>
      <w:sz w:val="20"/>
      <w:szCs w:val="20"/>
    </w:rPr>
  </w:style>
  <w:style w:type="paragraph" w:styleId="Gwkaistopka">
    <w:name w:val="Główka i stopka"/>
    <w:basedOn w:val="Normal"/>
    <w:qFormat/>
    <w:pPr/>
    <w:rPr/>
  </w:style>
  <w:style w:type="paragraph" w:styleId="Header">
    <w:name w:val="Header"/>
    <w:basedOn w:val="Normal"/>
    <w:link w:val="NagwekZnak"/>
    <w:uiPriority w:val="99"/>
    <w:unhideWhenUsed/>
    <w:rsid w:val="00146b7d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Footer">
    <w:name w:val="Footer"/>
    <w:basedOn w:val="Normal"/>
    <w:link w:val="StopkaZnak"/>
    <w:uiPriority w:val="99"/>
    <w:unhideWhenUsed/>
    <w:rsid w:val="00146b7d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EndnoteText">
    <w:name w:val="Endnote Text"/>
    <w:basedOn w:val="Normal"/>
    <w:link w:val="TekstprzypisukocowegoZnak"/>
    <w:uiPriority w:val="99"/>
    <w:semiHidden/>
    <w:unhideWhenUsed/>
    <w:rsid w:val="00942aac"/>
    <w:pPr/>
    <w:rPr>
      <w:sz w:val="20"/>
      <w:szCs w:val="20"/>
    </w:rPr>
  </w:style>
  <w:style w:type="paragraph" w:styleId="ListParagraph">
    <w:name w:val="List Paragraph"/>
    <w:basedOn w:val="Normal"/>
    <w:uiPriority w:val="34"/>
    <w:qFormat/>
    <w:rsid w:val="3fff7563"/>
    <w:pPr>
      <w:spacing w:before="0" w:after="0"/>
      <w:ind w:left="720"/>
      <w:contextualSpacing/>
    </w:pPr>
    <w:rPr/>
  </w:style>
  <w:style w:type="paragraph" w:styleId="Zawartotabeli">
    <w:name w:val="Zawartość tabeli"/>
    <w:basedOn w:val="Normal"/>
    <w:qFormat/>
    <w:pPr>
      <w:widowControl w:val="false"/>
      <w:suppressLineNumbers/>
    </w:pPr>
    <w:rPr/>
  </w:style>
  <w:style w:type="paragraph" w:styleId="Nagwektabeli">
    <w:name w:val="Nagłówek tabeli"/>
    <w:basedOn w:val="Zawartotabeli"/>
    <w:qFormat/>
    <w:pPr>
      <w:suppressLineNumbers/>
      <w:jc w:val="center"/>
    </w:pPr>
    <w:rPr>
      <w:b/>
      <w:bCs/>
    </w:rPr>
  </w:style>
  <w:style w:type="numbering" w:styleId="NoList" w:default="1">
    <w:name w:val="No List"/>
    <w:uiPriority w:val="99"/>
    <w:semiHidden/>
    <w:unhideWhenUsed/>
    <w:qFormat/>
  </w:style>
  <w:style w:type="table" w:default="1" w:styleId="Standardowy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oleObject" Target="embeddings/oleObject1.bin"/><Relationship Id="rId4" Type="http://schemas.openxmlformats.org/officeDocument/2006/relationships/image" Target="media/image2.wmf"/><Relationship Id="rId5" Type="http://schemas.openxmlformats.org/officeDocument/2006/relationships/footer" Target="footer1.xml"/><Relationship Id="rId6" Type="http://schemas.openxmlformats.org/officeDocument/2006/relationships/numbering" Target="numbering.xml"/><Relationship Id="rId7" Type="http://schemas.openxmlformats.org/officeDocument/2006/relationships/fontTable" Target="fontTable.xml"/><Relationship Id="rId8" Type="http://schemas.openxmlformats.org/officeDocument/2006/relationships/settings" Target="settings.xml"/><Relationship Id="rId9" Type="http://schemas.openxmlformats.org/officeDocument/2006/relationships/theme" Target="theme/theme1.xml"/><Relationship Id="rId10" Type="http://schemas.openxmlformats.org/officeDocument/2006/relationships/customXml" Target="../customXml/item1.xml"/><Relationship Id="rId11" Type="http://schemas.openxmlformats.org/officeDocument/2006/relationships/customXml" Target="../customXml/item2.xml"/><Relationship Id="rId12" Type="http://schemas.openxmlformats.org/officeDocument/2006/relationships/customXml" Target="../customXml/item3.xml"/>
</Relationships>
</file>

<file path=word/theme/theme1.xml><?xml version="1.0" encoding="utf-8"?>
<a:theme xmlns:a="http://schemas.openxmlformats.org/drawingml/2006/main" xmlns:r="http://schemas.openxmlformats.org/officeDocument/2006/relationships" name="Office Them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 pitchFamily="0" charset="1"/>
        <a:ea typeface=""/>
        <a:cs typeface=""/>
      </a:majorFont>
      <a:minorFont>
        <a:latin typeface="Calibri" panose="020F0502020204030204" pitchFamily="0" charset="1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 l="0" t="0" r="0" b="0"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 l="0" t="0" r="0" b="0"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 l="0" t="0" r="0" b="0"/>
        </a:gradFill>
      </a:bgFillStyleLst>
    </a:fmtScheme>
  </a:themeElements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_rels/item2.xml.rels><?xml version="1.0" encoding="UTF-8"?>
<Relationships xmlns="http://schemas.openxmlformats.org/package/2006/relationships"><Relationship Id="rId1" Type="http://schemas.openxmlformats.org/officeDocument/2006/relationships/customXmlProps" Target="itemProps2.xml"/>
</Relationships>
</file>

<file path=customXml/_rels/item3.xml.rels><?xml version="1.0" encoding="UTF-8"?>
<Relationships xmlns="http://schemas.openxmlformats.org/package/2006/relationships"><Relationship Id="rId1" Type="http://schemas.openxmlformats.org/officeDocument/2006/relationships/customXmlProps" Target="itemProps3.xml"/>
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689397B8C4AAF4189A18E80A80654D9" ma:contentTypeVersion="5" ma:contentTypeDescription="Utwórz nowy dokument." ma:contentTypeScope="" ma:versionID="0debe9759c2a2cb343042fd66e72a72b">
  <xsd:schema xmlns:xsd="http://www.w3.org/2001/XMLSchema" xmlns:xs="http://www.w3.org/2001/XMLSchema" xmlns:p="http://schemas.microsoft.com/office/2006/metadata/properties" xmlns:ns2="8c6066ec-3877-49a3-b10c-18a72d7ac718" xmlns:ns3="ddb6f9a8-8ab6-4529-a38f-becb8a5be8a1" targetNamespace="http://schemas.microsoft.com/office/2006/metadata/properties" ma:root="true" ma:fieldsID="0822d46b83362b463dbde8b694a5b118" ns2:_="" ns3:_="">
    <xsd:import namespace="8c6066ec-3877-49a3-b10c-18a72d7ac718"/>
    <xsd:import namespace="ddb6f9a8-8ab6-4529-a38f-becb8a5be8a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c6066ec-3877-49a3-b10c-18a72d7ac7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db6f9a8-8ab6-4529-a38f-becb8a5be8a1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15796B3-F011-4620-98DC-17FD60367FB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987FAAD-EBB6-4C2E-A962-2EBF78FCC7D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c6066ec-3877-49a3-b10c-18a72d7ac718"/>
    <ds:schemaRef ds:uri="ddb6f9a8-8ab6-4529-a38f-becb8a5be8a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FBFD635-B8F0-4EDC-8663-890509AF6B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Application>LibreOffice/7.6.4.1$Windows_X86_64 LibreOffice_project/e19e193f88cd6c0525a17fb7a176ed8e6a3e2aa1</Application>
  <AppVersion>15.0000</AppVersion>
  <Pages>4</Pages>
  <Words>768</Words>
  <Characters>5037</Characters>
  <CharactersWithSpaces>5639</CharactersWithSpaces>
  <Paragraphs>187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2025-02-17T12:00:00Z</dcterms:created>
  <dc:creator>agh</dc:creator>
  <dc:description/>
  <dc:language>pl-PL</dc:language>
  <cp:lastModifiedBy/>
  <cp:lastPrinted>2019-03-28T19:35:00Z</cp:lastPrinted>
  <dcterms:modified xsi:type="dcterms:W3CDTF">2025-09-29T14:20:35Z</dcterms:modified>
  <cp:revision>14</cp:revision>
  <dc:subject/>
  <dc:title>ZARZĄDZENIE REKTORA nr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